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7CA7" w14:textId="15958890" w:rsidR="00AB5036" w:rsidRDefault="006623BC" w:rsidP="00AB5036">
      <w:pPr>
        <w:spacing w:before="300" w:after="150" w:line="240" w:lineRule="auto"/>
        <w:outlineLvl w:val="1"/>
        <w:rPr>
          <w:rFonts w:ascii="inherit" w:eastAsia="Times New Roman" w:hAnsi="inherit" w:cs="Arial CE"/>
          <w:b/>
          <w:bCs/>
          <w:color w:val="323232"/>
          <w:sz w:val="36"/>
          <w:szCs w:val="36"/>
          <w:lang w:eastAsia="cs-CZ"/>
        </w:rPr>
      </w:pPr>
      <w:r w:rsidRPr="006623BC">
        <w:rPr>
          <w:rFonts w:ascii="inherit" w:eastAsia="Times New Roman" w:hAnsi="inherit" w:cs="Arial CE"/>
          <w:b/>
          <w:bCs/>
          <w:color w:val="323232"/>
          <w:sz w:val="36"/>
          <w:szCs w:val="36"/>
          <w:lang w:eastAsia="cs-CZ"/>
        </w:rPr>
        <w:t xml:space="preserve">Produkce odpadů ve Bělé pod Bezdězem </w:t>
      </w:r>
      <w:r w:rsidR="00AB5036" w:rsidRPr="006623BC">
        <w:rPr>
          <w:rFonts w:ascii="inherit" w:eastAsia="Times New Roman" w:hAnsi="inherit" w:cs="Arial CE"/>
          <w:b/>
          <w:bCs/>
          <w:color w:val="323232"/>
          <w:sz w:val="36"/>
          <w:szCs w:val="36"/>
          <w:lang w:eastAsia="cs-CZ"/>
        </w:rPr>
        <w:t>v roce 20</w:t>
      </w:r>
      <w:r w:rsidRPr="006623BC">
        <w:rPr>
          <w:rFonts w:ascii="inherit" w:eastAsia="Times New Roman" w:hAnsi="inherit" w:cs="Arial CE"/>
          <w:b/>
          <w:bCs/>
          <w:color w:val="323232"/>
          <w:sz w:val="36"/>
          <w:szCs w:val="36"/>
          <w:lang w:eastAsia="cs-CZ"/>
        </w:rPr>
        <w:t>21</w:t>
      </w:r>
    </w:p>
    <w:p w14:paraId="669A0EA8" w14:textId="77777777" w:rsidR="00AF0D1E" w:rsidRDefault="006623BC" w:rsidP="00AF0D1E">
      <w:pPr>
        <w:spacing w:before="300" w:after="150" w:line="240" w:lineRule="auto"/>
        <w:jc w:val="both"/>
        <w:outlineLvl w:val="1"/>
        <w:rPr>
          <w:rFonts w:ascii="inherit" w:eastAsia="Times New Roman" w:hAnsi="inherit" w:cs="Arial CE"/>
          <w:color w:val="323232"/>
          <w:sz w:val="24"/>
          <w:szCs w:val="24"/>
          <w:lang w:eastAsia="cs-CZ"/>
        </w:rPr>
      </w:pPr>
      <w:r w:rsidRPr="006623BC"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>Za uplynulí rok 2021 vyprodukoval</w:t>
      </w:r>
      <w:r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 </w:t>
      </w:r>
      <w:r w:rsidR="00AF0D1E"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každý </w:t>
      </w:r>
      <w:r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>obyvatel našeho města</w:t>
      </w:r>
      <w:r w:rsidR="00AF0D1E"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>,</w:t>
      </w:r>
      <w:r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 včetně chatařů</w:t>
      </w:r>
      <w:r w:rsidR="00AF0D1E"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>,</w:t>
      </w:r>
      <w:r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 354 kg odpadu</w:t>
      </w:r>
      <w:r w:rsidR="00AF0D1E"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 všech kategorií</w:t>
      </w:r>
      <w:r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. Do tohoto </w:t>
      </w:r>
      <w:r w:rsidR="00AF0D1E"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čísla </w:t>
      </w:r>
      <w:r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nejsou zahrnuty </w:t>
      </w:r>
      <w:r w:rsidR="00AF0D1E"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odpady v režimu </w:t>
      </w:r>
      <w:r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zpětných odběru </w:t>
      </w:r>
      <w:r w:rsidR="00AF0D1E"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jako </w:t>
      </w:r>
      <w:r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elektrospotřebiče, </w:t>
      </w:r>
      <w:r w:rsidR="006C2E1F"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>baterie, zářivky a nově od poloviny roku 2021 i pneumatiky.</w:t>
      </w:r>
    </w:p>
    <w:p w14:paraId="2588479A" w14:textId="77777777" w:rsidR="00AF0D1E" w:rsidRDefault="006C2E1F" w:rsidP="00AF0D1E">
      <w:pPr>
        <w:spacing w:before="300" w:after="150" w:line="240" w:lineRule="auto"/>
        <w:jc w:val="both"/>
        <w:outlineLvl w:val="1"/>
        <w:rPr>
          <w:rFonts w:ascii="inherit" w:eastAsia="Times New Roman" w:hAnsi="inherit" w:cs="Arial CE"/>
          <w:color w:val="323232"/>
          <w:sz w:val="24"/>
          <w:szCs w:val="24"/>
          <w:lang w:eastAsia="cs-CZ"/>
        </w:rPr>
      </w:pPr>
      <w:r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 Je</w:t>
      </w:r>
      <w:r w:rsidR="007025D2"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 zde</w:t>
      </w:r>
      <w:r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 znatelné zlepšení sběru </w:t>
      </w:r>
      <w:r w:rsidR="007A0F1E"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tříděních </w:t>
      </w:r>
      <w:r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odpadu zavedením nového systému </w:t>
      </w:r>
      <w:r w:rsidR="007A0F1E"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a </w:t>
      </w:r>
      <w:r w:rsidR="007025D2"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>svozu materiálově využitelného odpadu.</w:t>
      </w:r>
      <w:r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 </w:t>
      </w:r>
      <w:r w:rsidR="007025D2"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V řádech desítek tun se projevilo zlepšení třídění u komodit jako plast a papír. Z produkce směsného komunálního odpadu, kde jsme zaznamenali stagnaci růstu tun i když byl zaveden 14ti denní svoz tohoto odpadu, lze předpokládat že v tomto odpadu se stále nalézá odpad, který lze dále vytřídit. </w:t>
      </w:r>
      <w:r w:rsidR="00AF0D1E"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>Věříme, že v letošním roce dojde ze strany občanů ke zlepšení třídění odpadů a tím ke snížení produkce odpadů komunálních.</w:t>
      </w:r>
    </w:p>
    <w:p w14:paraId="3A9ABF03" w14:textId="41A21E52" w:rsidR="00356372" w:rsidRDefault="00356372" w:rsidP="00AF0D1E">
      <w:pPr>
        <w:spacing w:before="300" w:after="150" w:line="240" w:lineRule="auto"/>
        <w:jc w:val="both"/>
        <w:outlineLvl w:val="1"/>
        <w:rPr>
          <w:rFonts w:ascii="inherit" w:eastAsia="Times New Roman" w:hAnsi="inherit" w:cs="Arial CE"/>
          <w:color w:val="323232"/>
          <w:sz w:val="24"/>
          <w:szCs w:val="24"/>
          <w:lang w:eastAsia="cs-CZ"/>
        </w:rPr>
      </w:pPr>
      <w:r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Zde naleznete tabulku poplatků </w:t>
      </w:r>
      <w:r w:rsidR="00AF0D1E"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za </w:t>
      </w:r>
      <w:r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>ukládání odpadu na skládku, kter</w:t>
      </w:r>
      <w:r w:rsidR="00AF0D1E"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>é</w:t>
      </w:r>
      <w:r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 xml:space="preserve"> se každý rok zvyšuj</w:t>
      </w:r>
      <w:r w:rsidR="00AF0D1E">
        <w:rPr>
          <w:rFonts w:ascii="inherit" w:eastAsia="Times New Roman" w:hAnsi="inherit" w:cs="Arial CE"/>
          <w:color w:val="323232"/>
          <w:sz w:val="24"/>
          <w:szCs w:val="24"/>
          <w:lang w:eastAsia="cs-CZ"/>
        </w:rPr>
        <w:t>í, zároveň se snižuje možná produkce odpadů na osobu/rok v katastru města. Což znamená, že každoročně je třeba zvyšovat podíl vytříděných odpadů na osobu a zároveň snižovat produkci netříděných odpadů.</w:t>
      </w:r>
    </w:p>
    <w:p w14:paraId="02991E2A" w14:textId="77777777" w:rsidR="002B0B7A" w:rsidRPr="006623BC" w:rsidRDefault="002B0B7A" w:rsidP="00AB5036">
      <w:pPr>
        <w:spacing w:before="300" w:after="150" w:line="240" w:lineRule="auto"/>
        <w:outlineLvl w:val="1"/>
        <w:rPr>
          <w:rFonts w:ascii="inherit" w:eastAsia="Times New Roman" w:hAnsi="inherit" w:cs="Arial CE"/>
          <w:color w:val="323232"/>
          <w:sz w:val="24"/>
          <w:szCs w:val="24"/>
          <w:lang w:eastAsia="cs-CZ"/>
        </w:rPr>
      </w:pPr>
    </w:p>
    <w:p w14:paraId="02CA196D" w14:textId="641BE77C" w:rsidR="00AB5036" w:rsidRPr="00AB5036" w:rsidRDefault="00AB5036" w:rsidP="00AB503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03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30D932F" wp14:editId="11C6B364">
            <wp:extent cx="5784533" cy="4137660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413" cy="413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E1AB4" w14:textId="78EE3956" w:rsidR="00AB5036" w:rsidRDefault="00AB5036" w:rsidP="00AB5036">
      <w:pPr>
        <w:spacing w:after="150" w:line="240" w:lineRule="auto"/>
        <w:jc w:val="both"/>
        <w:rPr>
          <w:rFonts w:ascii="Calibri" w:eastAsia="Times New Roman" w:hAnsi="Calibri" w:cs="Calibri"/>
          <w:b/>
          <w:bCs/>
          <w:noProof/>
          <w:color w:val="60782E"/>
          <w:sz w:val="24"/>
          <w:szCs w:val="24"/>
          <w:lang w:eastAsia="cs-CZ"/>
        </w:rPr>
      </w:pPr>
    </w:p>
    <w:p w14:paraId="661A8D21" w14:textId="147D321F" w:rsidR="00356372" w:rsidRDefault="00356372" w:rsidP="00AB5036">
      <w:pPr>
        <w:spacing w:after="150" w:line="240" w:lineRule="auto"/>
        <w:jc w:val="both"/>
        <w:rPr>
          <w:rFonts w:ascii="Calibri" w:eastAsia="Times New Roman" w:hAnsi="Calibri" w:cs="Calibri"/>
          <w:b/>
          <w:bCs/>
          <w:noProof/>
          <w:color w:val="60782E"/>
          <w:sz w:val="24"/>
          <w:szCs w:val="24"/>
          <w:lang w:eastAsia="cs-CZ"/>
        </w:rPr>
      </w:pPr>
    </w:p>
    <w:p w14:paraId="21F89E9D" w14:textId="77777777" w:rsidR="00356372" w:rsidRDefault="00356372" w:rsidP="00AB5036">
      <w:pPr>
        <w:spacing w:after="150" w:line="240" w:lineRule="auto"/>
        <w:jc w:val="both"/>
        <w:rPr>
          <w:rFonts w:ascii="Calibri" w:eastAsia="Times New Roman" w:hAnsi="Calibri" w:cs="Calibri"/>
          <w:b/>
          <w:bCs/>
          <w:noProof/>
          <w:color w:val="60782E"/>
          <w:sz w:val="24"/>
          <w:szCs w:val="24"/>
          <w:lang w:eastAsia="cs-CZ"/>
        </w:rPr>
      </w:pPr>
    </w:p>
    <w:p w14:paraId="593125F6" w14:textId="77777777" w:rsidR="00356372" w:rsidRDefault="00356372" w:rsidP="00AB5036">
      <w:pPr>
        <w:spacing w:after="150" w:line="240" w:lineRule="auto"/>
        <w:jc w:val="both"/>
        <w:rPr>
          <w:rFonts w:ascii="Calibri" w:eastAsia="Times New Roman" w:hAnsi="Calibri" w:cs="Calibri"/>
          <w:b/>
          <w:bCs/>
          <w:noProof/>
          <w:color w:val="60782E"/>
          <w:sz w:val="24"/>
          <w:szCs w:val="24"/>
          <w:lang w:eastAsia="cs-CZ"/>
        </w:rPr>
      </w:pPr>
    </w:p>
    <w:p w14:paraId="3DC1990D" w14:textId="6C6C2DD1" w:rsidR="00356372" w:rsidRDefault="00356372" w:rsidP="00AB5036">
      <w:pPr>
        <w:spacing w:after="150" w:line="240" w:lineRule="auto"/>
        <w:jc w:val="both"/>
        <w:rPr>
          <w:rFonts w:ascii="Calibri" w:eastAsia="Times New Roman" w:hAnsi="Calibri" w:cs="Calibri"/>
          <w:b/>
          <w:bCs/>
          <w:noProof/>
          <w:color w:val="60782E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noProof/>
          <w:color w:val="60782E"/>
          <w:sz w:val="24"/>
          <w:szCs w:val="24"/>
          <w:lang w:eastAsia="cs-CZ"/>
        </w:rPr>
        <w:t>Tabulka roční produkce odpadů</w:t>
      </w:r>
      <w:r w:rsidR="00AF0D1E">
        <w:rPr>
          <w:rFonts w:ascii="Calibri" w:eastAsia="Times New Roman" w:hAnsi="Calibri" w:cs="Calibri"/>
          <w:b/>
          <w:bCs/>
          <w:noProof/>
          <w:color w:val="60782E"/>
          <w:sz w:val="24"/>
          <w:szCs w:val="24"/>
          <w:lang w:eastAsia="cs-CZ"/>
        </w:rPr>
        <w:t xml:space="preserve"> v Bělé pod Bezdězem a příměstských částech</w:t>
      </w:r>
      <w:r>
        <w:rPr>
          <w:rFonts w:ascii="Calibri" w:eastAsia="Times New Roman" w:hAnsi="Calibri" w:cs="Calibri"/>
          <w:b/>
          <w:bCs/>
          <w:noProof/>
          <w:color w:val="60782E"/>
          <w:sz w:val="24"/>
          <w:szCs w:val="24"/>
          <w:lang w:eastAsia="cs-CZ"/>
        </w:rPr>
        <w:t>:</w:t>
      </w:r>
    </w:p>
    <w:tbl>
      <w:tblPr>
        <w:tblW w:w="892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1"/>
        <w:gridCol w:w="1047"/>
        <w:gridCol w:w="3385"/>
        <w:gridCol w:w="2583"/>
      </w:tblGrid>
      <w:tr w:rsidR="00356372" w:rsidRPr="00356372" w14:paraId="346FD9D1" w14:textId="77777777" w:rsidTr="000D018E">
        <w:trPr>
          <w:trHeight w:val="450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882" w14:textId="68AA0B43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</w:t>
            </w:r>
            <w:r w:rsidRPr="003563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atalogové číslo odpadu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4C9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  <w:t>kategorie odpadu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97986" w14:textId="49A99629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n</w:t>
            </w:r>
            <w:r w:rsidRPr="0035637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ázev druhu odpadu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6F6" w14:textId="74CD9B98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r</w:t>
            </w:r>
            <w:r w:rsidRPr="0035637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oční produkce odpadu v tunách</w:t>
            </w:r>
          </w:p>
        </w:tc>
      </w:tr>
      <w:tr w:rsidR="00356372" w:rsidRPr="00356372" w14:paraId="713262F1" w14:textId="77777777" w:rsidTr="000D018E">
        <w:trPr>
          <w:trHeight w:val="450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0795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C51C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D7ED1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E1E1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</w:tr>
      <w:tr w:rsidR="00356372" w:rsidRPr="00356372" w14:paraId="15AB9735" w14:textId="77777777" w:rsidTr="000D018E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A971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20 03 01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317C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4F4A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Směsný komunální odpad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C3CA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968,1555</w:t>
            </w:r>
          </w:p>
        </w:tc>
      </w:tr>
      <w:tr w:rsidR="00356372" w:rsidRPr="00356372" w14:paraId="26DABFCE" w14:textId="77777777" w:rsidTr="000D018E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76E3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20 03 07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C9DD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169B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Objemný odpad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DA54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302,93</w:t>
            </w:r>
          </w:p>
        </w:tc>
      </w:tr>
      <w:tr w:rsidR="00356372" w:rsidRPr="00356372" w14:paraId="089C84F2" w14:textId="77777777" w:rsidTr="000D018E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07BF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17 01 07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EFEB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F9CB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Směsný stavební a demoliční odpad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981F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71,71</w:t>
            </w:r>
          </w:p>
        </w:tc>
      </w:tr>
      <w:tr w:rsidR="00356372" w:rsidRPr="00356372" w14:paraId="551D11F6" w14:textId="77777777" w:rsidTr="000D018E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F341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17 06 05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FF6D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A0FC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Stavební materály obsahující azbest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B9B8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4,71</w:t>
            </w:r>
          </w:p>
        </w:tc>
      </w:tr>
      <w:tr w:rsidR="00356372" w:rsidRPr="00356372" w14:paraId="77576BAA" w14:textId="77777777" w:rsidTr="000D018E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EC99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20 01 39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8871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2F3E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Plasty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2F58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83,9931</w:t>
            </w:r>
          </w:p>
        </w:tc>
      </w:tr>
      <w:tr w:rsidR="00356372" w:rsidRPr="00356372" w14:paraId="68D2C0A3" w14:textId="77777777" w:rsidTr="000D018E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5297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20 01 01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522F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9B23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Papír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3AD3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88,9149</w:t>
            </w:r>
          </w:p>
        </w:tc>
      </w:tr>
      <w:tr w:rsidR="00356372" w:rsidRPr="00356372" w14:paraId="091A6FD6" w14:textId="77777777" w:rsidTr="000D018E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2852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20 01 02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BC57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1479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Sklo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28A5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75,522</w:t>
            </w:r>
          </w:p>
        </w:tc>
      </w:tr>
      <w:tr w:rsidR="00356372" w:rsidRPr="00356372" w14:paraId="51F5A431" w14:textId="77777777" w:rsidTr="000D018E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0BEE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15 01 05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833A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12C7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Kompozitní obaly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1370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3,096</w:t>
            </w:r>
          </w:p>
        </w:tc>
      </w:tr>
      <w:tr w:rsidR="00356372" w:rsidRPr="00356372" w14:paraId="669D5BB5" w14:textId="77777777" w:rsidTr="000D018E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CC62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20 02 01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AA9D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08CD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Biologicky rozložitelný odpad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6A0E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85,285</w:t>
            </w:r>
          </w:p>
        </w:tc>
      </w:tr>
      <w:tr w:rsidR="00356372" w:rsidRPr="00356372" w14:paraId="12E9C601" w14:textId="77777777" w:rsidTr="000D018E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1F99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20 01 40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F931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80A8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Kovy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54D1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28,83</w:t>
            </w:r>
          </w:p>
        </w:tc>
      </w:tr>
      <w:tr w:rsidR="00356372" w:rsidRPr="00356372" w14:paraId="1E77D8ED" w14:textId="77777777" w:rsidTr="000D018E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CE96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20 01 38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0924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A69D8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Dřevo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4D0C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20,18</w:t>
            </w:r>
          </w:p>
        </w:tc>
      </w:tr>
      <w:tr w:rsidR="00356372" w:rsidRPr="00356372" w14:paraId="71DC0092" w14:textId="77777777" w:rsidTr="000D018E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C693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20 01 10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E45F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EACE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Textilní materiály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8F97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8,9</w:t>
            </w:r>
          </w:p>
        </w:tc>
      </w:tr>
      <w:tr w:rsidR="00356372" w:rsidRPr="00356372" w14:paraId="3617D4D8" w14:textId="77777777" w:rsidTr="000D018E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E464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20 01 25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93D6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6BD5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Jedlý olej a tuk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A438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2,0102</w:t>
            </w:r>
          </w:p>
        </w:tc>
      </w:tr>
      <w:tr w:rsidR="00356372" w:rsidRPr="00356372" w14:paraId="399AF871" w14:textId="77777777" w:rsidTr="000D018E">
        <w:trPr>
          <w:trHeight w:val="450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30C5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13 02 08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C849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86BE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Jiné motorové, převodové a mazací oleje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E1FF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0,078</w:t>
            </w:r>
          </w:p>
        </w:tc>
      </w:tr>
      <w:tr w:rsidR="00356372" w:rsidRPr="00356372" w14:paraId="6D5AF2B4" w14:textId="77777777" w:rsidTr="000D018E">
        <w:trPr>
          <w:trHeight w:val="450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D461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521A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6027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6E32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6372" w:rsidRPr="00356372" w14:paraId="0E4A96B7" w14:textId="77777777" w:rsidTr="000D018E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E4B7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16 01 03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2E19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6B51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Pneumatiky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F48B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1,18</w:t>
            </w:r>
          </w:p>
        </w:tc>
      </w:tr>
      <w:tr w:rsidR="00356372" w:rsidRPr="00356372" w14:paraId="31532E9C" w14:textId="77777777" w:rsidTr="000D018E">
        <w:trPr>
          <w:trHeight w:val="450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9484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15 01 10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61F9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5503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Obaly obsahující zbytky nebezpečných látek nebo obaly těmito látkami znečištěné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3FD6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2,13</w:t>
            </w:r>
          </w:p>
        </w:tc>
      </w:tr>
      <w:tr w:rsidR="00356372" w:rsidRPr="00356372" w14:paraId="73CC00C8" w14:textId="77777777" w:rsidTr="000D018E">
        <w:trPr>
          <w:trHeight w:val="450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F1B5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A131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B8FA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4967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6372" w:rsidRPr="00356372" w14:paraId="16165BEF" w14:textId="77777777" w:rsidTr="000D018E">
        <w:trPr>
          <w:trHeight w:val="450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F782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23FF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CB86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9E03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6372" w:rsidRPr="00356372" w14:paraId="0560B6D0" w14:textId="77777777" w:rsidTr="000D018E">
        <w:trPr>
          <w:trHeight w:val="450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AD39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15 02 02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55E5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2B81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Absorpční činidla, filtrační materiály (včetně olejových filtrů jinak blíže neurčených), čistící tkaniny a ochranné oděvy znečištěné nebezpečnými látkami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AA56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0,012</w:t>
            </w:r>
          </w:p>
        </w:tc>
      </w:tr>
      <w:tr w:rsidR="00356372" w:rsidRPr="00356372" w14:paraId="0A4294F6" w14:textId="77777777" w:rsidTr="000D018E">
        <w:trPr>
          <w:trHeight w:val="450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007C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745B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A2B3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6620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6372" w:rsidRPr="00356372" w14:paraId="5E560A48" w14:textId="77777777" w:rsidTr="000D018E">
        <w:trPr>
          <w:trHeight w:val="450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6554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17B0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A26B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9081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6372" w:rsidRPr="00356372" w14:paraId="0215F220" w14:textId="77777777" w:rsidTr="000D018E">
        <w:trPr>
          <w:trHeight w:val="450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4386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3D95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1EB2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7AE3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6372" w:rsidRPr="00356372" w14:paraId="2AE01411" w14:textId="77777777" w:rsidTr="000D018E">
        <w:trPr>
          <w:trHeight w:val="450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661B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E14A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CFAA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894B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6372" w:rsidRPr="00356372" w14:paraId="4DAB2392" w14:textId="77777777" w:rsidTr="000D018E">
        <w:trPr>
          <w:trHeight w:val="450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ABE3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17 03 02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09E4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555B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Asfaltové směsi neuvedené pod číslem 17 03 01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629F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16,855</w:t>
            </w:r>
          </w:p>
        </w:tc>
      </w:tr>
      <w:tr w:rsidR="00356372" w:rsidRPr="00356372" w14:paraId="34BE6F56" w14:textId="77777777" w:rsidTr="000D018E">
        <w:trPr>
          <w:trHeight w:val="450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7DDE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81B9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420B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5D70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6372" w:rsidRPr="00356372" w14:paraId="2F4DBEA2" w14:textId="77777777" w:rsidTr="000D018E">
        <w:trPr>
          <w:trHeight w:val="450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0FEF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20 01 27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0790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DA96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Barvy, tiskařské barvy, lepidla a pryskyřice obsahující nebezpečné látky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539B" w14:textId="77777777" w:rsidR="00356372" w:rsidRPr="00356372" w:rsidRDefault="00356372" w:rsidP="00356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372">
              <w:rPr>
                <w:rFonts w:ascii="Calibri" w:eastAsia="Times New Roman" w:hAnsi="Calibri" w:cs="Calibri"/>
                <w:color w:val="000000"/>
                <w:lang w:eastAsia="cs-CZ"/>
              </w:rPr>
              <w:t>3,7</w:t>
            </w:r>
          </w:p>
        </w:tc>
      </w:tr>
      <w:tr w:rsidR="00356372" w:rsidRPr="00356372" w14:paraId="5C9642C0" w14:textId="77777777" w:rsidTr="000D018E">
        <w:trPr>
          <w:trHeight w:val="450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9FD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A048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CE0A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0DFA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6372" w:rsidRPr="00356372" w14:paraId="61EE77F7" w14:textId="77777777" w:rsidTr="000D018E">
        <w:trPr>
          <w:trHeight w:val="450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A655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B18C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F0D9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7604" w14:textId="77777777" w:rsidR="00356372" w:rsidRPr="00356372" w:rsidRDefault="00356372" w:rsidP="00356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245340E" w14:textId="77777777" w:rsidR="00356372" w:rsidRPr="00AB5036" w:rsidRDefault="00356372" w:rsidP="00AB503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E99366" w14:textId="77777777" w:rsidR="00D012ED" w:rsidRDefault="00D012ED" w:rsidP="00AB503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933665" w14:textId="106B4386" w:rsidR="00AB5036" w:rsidRPr="00AB5036" w:rsidRDefault="00B32DF1" w:rsidP="00AB503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roce </w:t>
      </w:r>
      <w:r w:rsidR="000D01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2022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musíme především zaměřit na směsný komunální odpad a také na objemný odpad, </w:t>
      </w:r>
      <w:r w:rsidR="00FC17D9">
        <w:rPr>
          <w:rFonts w:ascii="Times New Roman" w:eastAsia="Times New Roman" w:hAnsi="Times New Roman" w:cs="Times New Roman"/>
          <w:sz w:val="24"/>
          <w:szCs w:val="24"/>
          <w:lang w:eastAsia="cs-CZ"/>
        </w:rPr>
        <w:t>jehož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 města </w:t>
      </w:r>
      <w:r w:rsidR="00FC17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produkují </w:t>
      </w:r>
      <w:r w:rsidR="00FC17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nadměrné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množství.</w:t>
      </w:r>
      <w:r w:rsidR="00DD56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dále soustředit na co největší třídění odpadu, které nám pomůže k udržení ceny poplatků na stejné ceně jako doposud.</w:t>
      </w:r>
    </w:p>
    <w:p w14:paraId="1F644F80" w14:textId="7C1F375D" w:rsidR="00B32DF1" w:rsidRDefault="00AB5036" w:rsidP="00AB503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03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32DF1">
        <w:rPr>
          <w:rFonts w:ascii="Times New Roman" w:eastAsia="Times New Roman" w:hAnsi="Times New Roman" w:cs="Times New Roman"/>
          <w:sz w:val="24"/>
          <w:szCs w:val="24"/>
          <w:lang w:eastAsia="cs-CZ"/>
        </w:rPr>
        <w:t>Tabulka příjmů a výdajů odpadového hospodářství města Bělá pod Bezdězem</w:t>
      </w:r>
      <w:r w:rsidR="00DD561B">
        <w:rPr>
          <w:rFonts w:ascii="Times New Roman" w:eastAsia="Times New Roman" w:hAnsi="Times New Roman" w:cs="Times New Roman"/>
          <w:sz w:val="24"/>
          <w:szCs w:val="24"/>
          <w:lang w:eastAsia="cs-CZ"/>
        </w:rPr>
        <w:t>: viz. níže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8"/>
        <w:gridCol w:w="1717"/>
        <w:gridCol w:w="1842"/>
      </w:tblGrid>
      <w:tr w:rsidR="00B32DF1" w:rsidRPr="00B32DF1" w14:paraId="23F487FD" w14:textId="77777777" w:rsidTr="00B32DF1">
        <w:trPr>
          <w:trHeight w:val="48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785D" w14:textId="77777777" w:rsidR="00B32DF1" w:rsidRPr="00B32DF1" w:rsidRDefault="00B32DF1" w:rsidP="00B3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FINANCOVÁNÍ ODPADOVÉHO HOSPODÁŘSTVÍ</w:t>
            </w:r>
          </w:p>
        </w:tc>
      </w:tr>
      <w:tr w:rsidR="00B32DF1" w:rsidRPr="00B32DF1" w14:paraId="13D0FF32" w14:textId="77777777" w:rsidTr="00B32DF1">
        <w:trPr>
          <w:trHeight w:val="300"/>
        </w:trPr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7711C694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C1B84" w14:textId="77777777" w:rsidR="00B32DF1" w:rsidRPr="00B32DF1" w:rsidRDefault="00B32DF1" w:rsidP="00B3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příjmy 2021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5B88B9F" w14:textId="77777777" w:rsidR="00B32DF1" w:rsidRPr="00B32DF1" w:rsidRDefault="00B32DF1" w:rsidP="00B3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 2021</w:t>
            </w:r>
          </w:p>
        </w:tc>
      </w:tr>
      <w:tr w:rsidR="00B32DF1" w:rsidRPr="00B32DF1" w14:paraId="168DDCD1" w14:textId="77777777" w:rsidTr="00B32DF1">
        <w:trPr>
          <w:trHeight w:val="300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DAEFFD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směsný komunální odpad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9A0D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38FBB" w14:textId="77777777" w:rsidR="00B32DF1" w:rsidRPr="00B32DF1" w:rsidRDefault="00B32DF1" w:rsidP="00B32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3 319 910,00 Kč</w:t>
            </w:r>
          </w:p>
        </w:tc>
      </w:tr>
      <w:tr w:rsidR="00B32DF1" w:rsidRPr="00B32DF1" w14:paraId="5DDBC7CA" w14:textId="77777777" w:rsidTr="00B32DF1">
        <w:trPr>
          <w:trHeight w:val="300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5CF645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tříděny odpad po městě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A5B0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104A3" w14:textId="77777777" w:rsidR="00B32DF1" w:rsidRPr="00B32DF1" w:rsidRDefault="00B32DF1" w:rsidP="00B32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688 565,00 Kč</w:t>
            </w:r>
          </w:p>
        </w:tc>
      </w:tr>
      <w:tr w:rsidR="00B32DF1" w:rsidRPr="00B32DF1" w14:paraId="4889ABDB" w14:textId="77777777" w:rsidTr="00B32DF1">
        <w:trPr>
          <w:trHeight w:val="300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8C83C6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odpady sběrný dvůr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1247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21558" w14:textId="77777777" w:rsidR="00B32DF1" w:rsidRPr="00B32DF1" w:rsidRDefault="00B32DF1" w:rsidP="00B32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1 333 344,00 Kč</w:t>
            </w:r>
          </w:p>
        </w:tc>
      </w:tr>
      <w:tr w:rsidR="00B32DF1" w:rsidRPr="00B32DF1" w14:paraId="429DD203" w14:textId="77777777" w:rsidTr="00B32DF1">
        <w:trPr>
          <w:trHeight w:val="300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92D70F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odpady po městě koše a veřejné prostranství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46DE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8AC7B" w14:textId="77777777" w:rsidR="00B32DF1" w:rsidRPr="00B32DF1" w:rsidRDefault="00B32DF1" w:rsidP="00B32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318 263,00 Kč</w:t>
            </w:r>
          </w:p>
        </w:tc>
      </w:tr>
      <w:tr w:rsidR="00B32DF1" w:rsidRPr="00B32DF1" w14:paraId="0D5768B9" w14:textId="77777777" w:rsidTr="00B32DF1">
        <w:trPr>
          <w:trHeight w:val="300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8E8326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nákup pytle na třídění dům od domu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1C46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B909B" w14:textId="77777777" w:rsidR="00B32DF1" w:rsidRPr="00B32DF1" w:rsidRDefault="00B32DF1" w:rsidP="00B32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83 244,00 Kč</w:t>
            </w:r>
          </w:p>
        </w:tc>
      </w:tr>
      <w:tr w:rsidR="00B32DF1" w:rsidRPr="00B32DF1" w14:paraId="6A116CF8" w14:textId="77777777" w:rsidTr="00B32DF1">
        <w:trPr>
          <w:trHeight w:val="300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592F96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780B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0FCDC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2DF1" w:rsidRPr="00B32DF1" w14:paraId="5F3EB835" w14:textId="77777777" w:rsidTr="00B32DF1">
        <w:trPr>
          <w:trHeight w:val="300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8E5969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poplatek občan KO pro rok 2021- 600,-Kč/občan + chatař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D987" w14:textId="77777777" w:rsidR="00B32DF1" w:rsidRPr="00B32DF1" w:rsidRDefault="00B32DF1" w:rsidP="00B32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2 998 498,00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DD55A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2DF1" w:rsidRPr="00B32DF1" w14:paraId="67A7D6DD" w14:textId="77777777" w:rsidTr="00B32DF1">
        <w:trPr>
          <w:trHeight w:val="300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42DB348" w14:textId="5C907851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poplatek podnikatel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é</w:t>
            </w: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KO - smlouva </w:t>
            </w:r>
            <w:r w:rsidR="00D01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 </w:t>
            </w: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měst</w:t>
            </w:r>
            <w:r w:rsidR="00D01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em</w:t>
            </w: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8574" w14:textId="77777777" w:rsidR="00B32DF1" w:rsidRPr="00B32DF1" w:rsidRDefault="00B32DF1" w:rsidP="00B32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175 228,00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3AB1B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2DF1" w:rsidRPr="00B32DF1" w14:paraId="68522709" w14:textId="77777777" w:rsidTr="00B32DF1">
        <w:trPr>
          <w:trHeight w:val="300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EAD4FF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poplatek občan/podnikatelé - odpady SD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117A" w14:textId="77777777" w:rsidR="00B32DF1" w:rsidRPr="00B32DF1" w:rsidRDefault="00B32DF1" w:rsidP="00B32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114 975,00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D632A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2DF1" w:rsidRPr="00B32DF1" w14:paraId="040621FC" w14:textId="77777777" w:rsidTr="00B32DF1">
        <w:trPr>
          <w:trHeight w:val="300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B069E0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výnosy z tříděného odpadu/prodej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758A" w14:textId="77777777" w:rsidR="00B32DF1" w:rsidRPr="00B32DF1" w:rsidRDefault="00B32DF1" w:rsidP="00B32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303 111,00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C0DB1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2DF1" w:rsidRPr="00B32DF1" w14:paraId="02127681" w14:textId="77777777" w:rsidTr="00B32DF1">
        <w:trPr>
          <w:trHeight w:val="300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527C7C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výnosy z tříděného odpadu - zpětný odběr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AD3D" w14:textId="77777777" w:rsidR="00B32DF1" w:rsidRPr="00B32DF1" w:rsidRDefault="00B32DF1" w:rsidP="00B32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782 172,00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8D14F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2DF1" w:rsidRPr="00B32DF1" w14:paraId="3B459B6A" w14:textId="77777777" w:rsidTr="00B32DF1">
        <w:trPr>
          <w:trHeight w:val="315"/>
        </w:trPr>
        <w:tc>
          <w:tcPr>
            <w:tcW w:w="550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C6E0B4"/>
            <w:noWrap/>
            <w:vAlign w:val="bottom"/>
            <w:hideMark/>
          </w:tcPr>
          <w:p w14:paraId="1958EC30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699F32" w14:textId="77777777" w:rsidR="00B32DF1" w:rsidRPr="00B32DF1" w:rsidRDefault="00B32DF1" w:rsidP="00B32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4 373 984,00 Kč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060CFCA9" w14:textId="77777777" w:rsidR="00B32DF1" w:rsidRPr="00B32DF1" w:rsidRDefault="00B32DF1" w:rsidP="00B32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5 743 326,00 Kč</w:t>
            </w:r>
          </w:p>
        </w:tc>
      </w:tr>
      <w:tr w:rsidR="00B32DF1" w:rsidRPr="00B32DF1" w14:paraId="53100925" w14:textId="77777777" w:rsidTr="00B32DF1">
        <w:trPr>
          <w:trHeight w:val="330"/>
        </w:trPr>
        <w:tc>
          <w:tcPr>
            <w:tcW w:w="550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D966"/>
            <w:noWrap/>
            <w:vAlign w:val="bottom"/>
            <w:hideMark/>
          </w:tcPr>
          <w:p w14:paraId="7867F7F0" w14:textId="77777777" w:rsidR="00B32DF1" w:rsidRPr="00B32DF1" w:rsidRDefault="00B32DF1" w:rsidP="00B32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 - V</w:t>
            </w:r>
          </w:p>
        </w:tc>
        <w:tc>
          <w:tcPr>
            <w:tcW w:w="355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D966"/>
            <w:noWrap/>
            <w:vAlign w:val="bottom"/>
            <w:hideMark/>
          </w:tcPr>
          <w:p w14:paraId="479FA880" w14:textId="77777777" w:rsidR="00B32DF1" w:rsidRPr="00B32DF1" w:rsidRDefault="00B32DF1" w:rsidP="00B3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D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-1 369 342,00 Kč</w:t>
            </w:r>
          </w:p>
        </w:tc>
      </w:tr>
    </w:tbl>
    <w:p w14:paraId="45C265AA" w14:textId="77777777" w:rsidR="00B32DF1" w:rsidRDefault="00B32DF1" w:rsidP="00AB503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009C75" w14:textId="22631A47" w:rsidR="00B32DF1" w:rsidRPr="00927C50" w:rsidRDefault="00B32DF1" w:rsidP="00B3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7C50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Celkové náklady města na nakládání s odpady od občanů činily v roce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92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cca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5,7</w:t>
      </w:r>
      <w:r w:rsidRPr="0092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ónu </w:t>
      </w:r>
      <w:r w:rsidRPr="0092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Kč, celkové příjmy pak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4,3</w:t>
      </w:r>
      <w:r w:rsidRPr="0092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óny</w:t>
      </w:r>
      <w:r w:rsidRPr="0092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Kč. Největší část nákladů patří nakládání se směsným komunálním odpadem (v roce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92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částka cca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3,3</w:t>
      </w:r>
      <w:r w:rsidRPr="0092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mil. Kč hrazená převážně občany v rámci výběru poplatku za komunální odpad). Město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jenom </w:t>
      </w:r>
      <w:r w:rsidRPr="00927C50">
        <w:rPr>
          <w:rFonts w:ascii="Times New Roman" w:eastAsia="Times New Roman" w:hAnsi="Times New Roman" w:cs="Times New Roman"/>
          <w:sz w:val="24"/>
          <w:szCs w:val="24"/>
          <w:lang w:eastAsia="cs-CZ"/>
        </w:rPr>
        <w:t>na tuto službu doplácí každoročně 6 až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92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% nákladů ze svého rozpočtu.</w:t>
      </w:r>
    </w:p>
    <w:p w14:paraId="7C640239" w14:textId="373AA6F8" w:rsidR="00C31E92" w:rsidRPr="00AB5036" w:rsidRDefault="00C31E92" w:rsidP="00C31E9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036">
        <w:rPr>
          <w:rFonts w:ascii="Times New Roman" w:eastAsia="Times New Roman" w:hAnsi="Times New Roman" w:cs="Times New Roman"/>
          <w:sz w:val="24"/>
          <w:szCs w:val="24"/>
          <w:lang w:eastAsia="cs-CZ"/>
        </w:rPr>
        <w:t>Věřím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AB50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tento článek trochu pomůže k vysvětlení, co se děje s odpadem, že třídit je </w:t>
      </w:r>
      <w:r w:rsidR="00FC17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nutnost </w:t>
      </w:r>
      <w:r w:rsidRPr="00AB50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ještě více je </w:t>
      </w:r>
      <w:r w:rsidR="00FC17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nutné </w:t>
      </w:r>
      <w:r w:rsidRPr="00AB50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omezit produkci </w:t>
      </w:r>
      <w:r w:rsidR="00FC17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netříděných </w:t>
      </w:r>
      <w:r w:rsidRPr="00AB5036">
        <w:rPr>
          <w:rFonts w:ascii="Times New Roman" w:eastAsia="Times New Roman" w:hAnsi="Times New Roman" w:cs="Times New Roman"/>
          <w:sz w:val="24"/>
          <w:szCs w:val="24"/>
          <w:lang w:eastAsia="cs-CZ"/>
        </w:rPr>
        <w:t>odpad</w:t>
      </w:r>
      <w:r w:rsidR="00FC17D9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AB5036">
        <w:rPr>
          <w:rFonts w:ascii="Times New Roman" w:eastAsia="Times New Roman" w:hAnsi="Times New Roman" w:cs="Times New Roman"/>
          <w:sz w:val="24"/>
          <w:szCs w:val="24"/>
          <w:lang w:eastAsia="cs-CZ"/>
        </w:rPr>
        <w:t>, protože peníze za jeho likvidaci dokážeme využít smysluplněji – třeba na školství nebo pro sociální oblast.</w:t>
      </w:r>
    </w:p>
    <w:p w14:paraId="590AEC6B" w14:textId="77777777" w:rsidR="00B32DF1" w:rsidRDefault="00B32DF1" w:rsidP="00AB503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B3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36"/>
    <w:rsid w:val="000D018E"/>
    <w:rsid w:val="002B0B7A"/>
    <w:rsid w:val="00356372"/>
    <w:rsid w:val="006623BC"/>
    <w:rsid w:val="006C2E1F"/>
    <w:rsid w:val="007025D2"/>
    <w:rsid w:val="007A0F1E"/>
    <w:rsid w:val="00927C50"/>
    <w:rsid w:val="00AB5036"/>
    <w:rsid w:val="00AF0D1E"/>
    <w:rsid w:val="00B32DF1"/>
    <w:rsid w:val="00BB3598"/>
    <w:rsid w:val="00C11428"/>
    <w:rsid w:val="00C31E92"/>
    <w:rsid w:val="00D012ED"/>
    <w:rsid w:val="00DD561B"/>
    <w:rsid w:val="00F36138"/>
    <w:rsid w:val="00FC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4AFC"/>
  <w15:chartTrackingRefBased/>
  <w15:docId w15:val="{A53E60D2-CB2B-4749-99C7-6D9F46F1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B5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B50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mgcaption">
    <w:name w:val="img_caption"/>
    <w:basedOn w:val="Normln"/>
    <w:rsid w:val="00AB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6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25880">
          <w:marLeft w:val="0"/>
          <w:marRight w:val="239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25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8541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Veronika</cp:lastModifiedBy>
  <cp:revision>8</cp:revision>
  <dcterms:created xsi:type="dcterms:W3CDTF">2022-02-15T06:51:00Z</dcterms:created>
  <dcterms:modified xsi:type="dcterms:W3CDTF">2022-02-28T12:48:00Z</dcterms:modified>
</cp:coreProperties>
</file>