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21B6" w14:textId="3EC846E5" w:rsidR="00976A5C" w:rsidRDefault="00744279" w:rsidP="00746B21">
      <w:pPr>
        <w:spacing w:line="240" w:lineRule="auto"/>
      </w:pPr>
      <w:r>
        <w:rPr>
          <w:rFonts w:ascii="Segoe UI" w:hAnsi="Segoe UI" w:cs="Segoe UI"/>
          <w:b/>
          <w:color w:val="000000" w:themeColor="text1"/>
          <w:sz w:val="32"/>
          <w:szCs w:val="32"/>
        </w:rPr>
        <w:t>Časový plán pro město Bělá pod Bezdězem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2"/>
        <w:gridCol w:w="851"/>
        <w:gridCol w:w="2410"/>
        <w:gridCol w:w="3403"/>
        <w:gridCol w:w="1276"/>
        <w:gridCol w:w="1531"/>
        <w:gridCol w:w="1268"/>
      </w:tblGrid>
      <w:tr w:rsidR="00976A5C" w:rsidRPr="00894635" w14:paraId="1CB7B0A7" w14:textId="77777777" w:rsidTr="00746B21">
        <w:trPr>
          <w:trHeight w:val="598"/>
        </w:trPr>
        <w:tc>
          <w:tcPr>
            <w:tcW w:w="505" w:type="pct"/>
            <w:vMerge w:val="restart"/>
            <w:shd w:val="clear" w:color="auto" w:fill="D6E3BC"/>
            <w:vAlign w:val="center"/>
          </w:tcPr>
          <w:p w14:paraId="5D781F21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Kód opatření dle PZKO</w:t>
            </w:r>
            <w:r w:rsidRPr="00894635">
              <w:rPr>
                <w:rStyle w:val="Znakapoznpodarou"/>
                <w:rFonts w:asciiTheme="minorHAnsi" w:hAnsiTheme="minorHAnsi" w:cstheme="minorHAnsi"/>
                <w:b/>
                <w:color w:val="000000" w:themeColor="text1"/>
                <w:sz w:val="18"/>
              </w:rPr>
              <w:footnoteReference w:id="1"/>
            </w:r>
          </w:p>
        </w:tc>
        <w:tc>
          <w:tcPr>
            <w:tcW w:w="658" w:type="pct"/>
            <w:vMerge w:val="restart"/>
            <w:shd w:val="clear" w:color="auto" w:fill="D6E3BC"/>
            <w:vAlign w:val="center"/>
          </w:tcPr>
          <w:p w14:paraId="644F10EC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Název opatření dle PZKO</w:t>
            </w:r>
          </w:p>
        </w:tc>
        <w:tc>
          <w:tcPr>
            <w:tcW w:w="304" w:type="pct"/>
            <w:vMerge w:val="restart"/>
            <w:shd w:val="clear" w:color="auto" w:fill="D6E3BC"/>
            <w:vAlign w:val="center"/>
          </w:tcPr>
          <w:p w14:paraId="48492911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Gesce dle PZKO</w:t>
            </w:r>
          </w:p>
        </w:tc>
        <w:tc>
          <w:tcPr>
            <w:tcW w:w="2533" w:type="pct"/>
            <w:gridSpan w:val="3"/>
            <w:shd w:val="clear" w:color="auto" w:fill="D6E3BC"/>
            <w:vAlign w:val="center"/>
          </w:tcPr>
          <w:p w14:paraId="39B94A44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Způsob naplnění opatření</w:t>
            </w:r>
          </w:p>
        </w:tc>
        <w:tc>
          <w:tcPr>
            <w:tcW w:w="547" w:type="pct"/>
            <w:vMerge w:val="restart"/>
            <w:shd w:val="clear" w:color="auto" w:fill="D6E3BC"/>
            <w:vAlign w:val="center"/>
          </w:tcPr>
          <w:p w14:paraId="1462EB6C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Náklady, zdroje financování</w:t>
            </w:r>
          </w:p>
        </w:tc>
        <w:tc>
          <w:tcPr>
            <w:tcW w:w="453" w:type="pct"/>
            <w:vMerge w:val="restart"/>
            <w:shd w:val="clear" w:color="auto" w:fill="D6E3BC"/>
            <w:vAlign w:val="center"/>
          </w:tcPr>
          <w:p w14:paraId="31EE441C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Termín splnění</w:t>
            </w:r>
          </w:p>
        </w:tc>
      </w:tr>
      <w:tr w:rsidR="00746B21" w:rsidRPr="00894635" w14:paraId="078370E3" w14:textId="77777777" w:rsidTr="00746B21">
        <w:trPr>
          <w:trHeight w:val="597"/>
        </w:trPr>
        <w:tc>
          <w:tcPr>
            <w:tcW w:w="505" w:type="pct"/>
            <w:vMerge/>
            <w:shd w:val="clear" w:color="auto" w:fill="auto"/>
          </w:tcPr>
          <w:p w14:paraId="4E00BF46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</w:p>
        </w:tc>
        <w:tc>
          <w:tcPr>
            <w:tcW w:w="658" w:type="pct"/>
            <w:vMerge/>
            <w:shd w:val="clear" w:color="auto" w:fill="D6E3BC"/>
          </w:tcPr>
          <w:p w14:paraId="0DB6BAA6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</w:p>
        </w:tc>
        <w:tc>
          <w:tcPr>
            <w:tcW w:w="304" w:type="pct"/>
            <w:vMerge/>
            <w:shd w:val="clear" w:color="auto" w:fill="D6E3BC"/>
          </w:tcPr>
          <w:p w14:paraId="36231A18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</w:p>
        </w:tc>
        <w:tc>
          <w:tcPr>
            <w:tcW w:w="861" w:type="pct"/>
            <w:shd w:val="clear" w:color="auto" w:fill="D6E3BC"/>
            <w:vAlign w:val="center"/>
          </w:tcPr>
          <w:p w14:paraId="7BACCF80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Aktivita</w:t>
            </w:r>
          </w:p>
        </w:tc>
        <w:tc>
          <w:tcPr>
            <w:tcW w:w="1216" w:type="pct"/>
            <w:shd w:val="clear" w:color="auto" w:fill="D6E3BC"/>
            <w:vAlign w:val="center"/>
          </w:tcPr>
          <w:p w14:paraId="2FA157F7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Dílčí kroky</w:t>
            </w:r>
          </w:p>
        </w:tc>
        <w:tc>
          <w:tcPr>
            <w:tcW w:w="456" w:type="pct"/>
            <w:shd w:val="clear" w:color="auto" w:fill="D6E3BC"/>
            <w:vAlign w:val="center"/>
          </w:tcPr>
          <w:p w14:paraId="5BB858F3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Interní gesce</w:t>
            </w:r>
            <w:r w:rsidRPr="00894635">
              <w:rPr>
                <w:rStyle w:val="Znakapoznpodarou"/>
                <w:rFonts w:asciiTheme="minorHAnsi" w:hAnsiTheme="minorHAnsi" w:cstheme="minorHAnsi"/>
                <w:b/>
                <w:color w:val="000000" w:themeColor="text1"/>
                <w:sz w:val="18"/>
              </w:rPr>
              <w:footnoteReference w:id="2"/>
            </w:r>
          </w:p>
        </w:tc>
        <w:tc>
          <w:tcPr>
            <w:tcW w:w="547" w:type="pct"/>
            <w:vMerge/>
            <w:shd w:val="clear" w:color="auto" w:fill="auto"/>
          </w:tcPr>
          <w:p w14:paraId="4A394149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14:paraId="118A73A6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</w:p>
        </w:tc>
      </w:tr>
      <w:tr w:rsidR="00FA768C" w:rsidRPr="00894635" w14:paraId="21942541" w14:textId="77777777" w:rsidTr="00746B21">
        <w:trPr>
          <w:trHeight w:val="3437"/>
        </w:trPr>
        <w:tc>
          <w:tcPr>
            <w:tcW w:w="505" w:type="pct"/>
            <w:vMerge w:val="restart"/>
            <w:shd w:val="clear" w:color="auto" w:fill="auto"/>
          </w:tcPr>
          <w:p w14:paraId="588E762D" w14:textId="77777777" w:rsidR="00FA768C" w:rsidRPr="00894635" w:rsidRDefault="00FA768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  <w:t>PZKO_2020_1</w:t>
            </w:r>
          </w:p>
          <w:p w14:paraId="6C5881A6" w14:textId="77777777" w:rsidR="00FA768C" w:rsidRPr="00894635" w:rsidRDefault="00FA768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  <w:p w14:paraId="1A72AD53" w14:textId="77777777" w:rsidR="00FA768C" w:rsidRPr="00894635" w:rsidRDefault="00FA768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  <w:tc>
          <w:tcPr>
            <w:tcW w:w="658" w:type="pct"/>
            <w:vMerge w:val="restart"/>
            <w:shd w:val="clear" w:color="auto" w:fill="auto"/>
          </w:tcPr>
          <w:p w14:paraId="3C7011E9" w14:textId="77777777" w:rsidR="00FA768C" w:rsidRPr="00894635" w:rsidRDefault="00FA768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Účinná kontrola plnění požadavků kladených na provozovatele spalovacích zdrojů zákonem o ochraně ovzduší</w:t>
            </w:r>
          </w:p>
        </w:tc>
        <w:tc>
          <w:tcPr>
            <w:tcW w:w="304" w:type="pct"/>
            <w:vMerge w:val="restart"/>
            <w:shd w:val="clear" w:color="auto" w:fill="auto"/>
          </w:tcPr>
          <w:p w14:paraId="6E813D3B" w14:textId="34F66272" w:rsidR="00FA768C" w:rsidRPr="00894635" w:rsidRDefault="00FA768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obec </w:t>
            </w:r>
          </w:p>
        </w:tc>
        <w:tc>
          <w:tcPr>
            <w:tcW w:w="861" w:type="pct"/>
            <w:vMerge w:val="restart"/>
            <w:shd w:val="clear" w:color="auto" w:fill="auto"/>
          </w:tcPr>
          <w:p w14:paraId="6F16EC54" w14:textId="6B2B9131" w:rsidR="00FA768C" w:rsidRPr="00894635" w:rsidRDefault="00FA768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sz w:val="18"/>
                <w:lang w:eastAsia="cs-CZ"/>
              </w:rPr>
              <w:t xml:space="preserve">Ověření provedení a výsledků kontroly technického stavu a provozu spalovacích stacionárních zdrojů na pevná paliva dle § 17 odst. 1 písm. h) zákona o ochraně ovzduší </w:t>
            </w:r>
            <w:r>
              <w:rPr>
                <w:rFonts w:asciiTheme="minorHAnsi" w:hAnsiTheme="minorHAnsi" w:cstheme="minorHAnsi"/>
                <w:b/>
                <w:i/>
                <w:sz w:val="18"/>
                <w:lang w:eastAsia="cs-CZ"/>
              </w:rPr>
              <w:t xml:space="preserve"> (KTSP)</w:t>
            </w:r>
          </w:p>
        </w:tc>
        <w:tc>
          <w:tcPr>
            <w:tcW w:w="1216" w:type="pct"/>
            <w:shd w:val="clear" w:color="auto" w:fill="auto"/>
          </w:tcPr>
          <w:p w14:paraId="5D7541EF" w14:textId="77777777" w:rsidR="00FA768C" w:rsidRPr="00894635" w:rsidRDefault="00FA768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Mapování zdrojů na pevná paliva na území ORP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, kam obec spadá</w:t>
            </w:r>
            <w:r w:rsidRPr="0089463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</w:p>
          <w:p w14:paraId="766F4B8E" w14:textId="75E354FA" w:rsidR="00FA768C" w:rsidRDefault="00FA768C" w:rsidP="00746B21">
            <w:pPr>
              <w:pStyle w:val="Odstavecseseznamem"/>
              <w:numPr>
                <w:ilvl w:val="0"/>
                <w:numId w:val="1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</w:t>
            </w:r>
            <w:r w:rsidRPr="0089463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poluprác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 s ORP </w:t>
            </w:r>
            <w:r w:rsidRPr="0089463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při mapování zdrojů na pevná paliva (před začátkem první topné sezóny nebo v jejím průběhu)</w:t>
            </w:r>
          </w:p>
          <w:p w14:paraId="26B28FB5" w14:textId="3D58F3E7" w:rsidR="00FA768C" w:rsidRPr="00894635" w:rsidRDefault="00FA768C" w:rsidP="00746B21">
            <w:pPr>
              <w:pStyle w:val="Odstavecseseznamem"/>
              <w:numPr>
                <w:ilvl w:val="0"/>
                <w:numId w:val="1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Předání evidovaných stížností na obtěžování kouřem a dalších podnětů ORP</w:t>
            </w:r>
          </w:p>
          <w:p w14:paraId="2B3FD5D1" w14:textId="1891B2C5" w:rsidR="00FA768C" w:rsidRPr="00894635" w:rsidRDefault="00FA768C" w:rsidP="00746B21">
            <w:pPr>
              <w:pStyle w:val="Odstavecseseznamem"/>
              <w:numPr>
                <w:ilvl w:val="0"/>
                <w:numId w:val="1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</w:t>
            </w:r>
            <w:r w:rsidRPr="0089463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ístní šetření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ve spolupráci s ORP </w:t>
            </w:r>
            <w:r w:rsidRPr="0089463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 mapování zdrojů na pevná paliva</w:t>
            </w:r>
          </w:p>
        </w:tc>
        <w:tc>
          <w:tcPr>
            <w:tcW w:w="456" w:type="pct"/>
            <w:shd w:val="clear" w:color="auto" w:fill="auto"/>
          </w:tcPr>
          <w:p w14:paraId="067BC976" w14:textId="57DC0A75" w:rsidR="00FA768C" w:rsidRPr="00894635" w:rsidRDefault="00F21966" w:rsidP="00F21966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Referent odboru výstavby a životního prostředí</w:t>
            </w:r>
          </w:p>
        </w:tc>
        <w:tc>
          <w:tcPr>
            <w:tcW w:w="547" w:type="pct"/>
            <w:shd w:val="clear" w:color="auto" w:fill="auto"/>
          </w:tcPr>
          <w:p w14:paraId="55EC5CED" w14:textId="17CA7E0B" w:rsidR="00FA768C" w:rsidRPr="00894635" w:rsidRDefault="00FA768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osobní náklady stávajících zaměstnanců,</w:t>
            </w:r>
          </w:p>
          <w:p w14:paraId="67B5DE9D" w14:textId="77777777" w:rsidR="00FA768C" w:rsidRPr="00894635" w:rsidRDefault="00FA768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/>
                <w:sz w:val="18"/>
              </w:rPr>
              <w:t>náklady na cesty</w:t>
            </w:r>
          </w:p>
        </w:tc>
        <w:tc>
          <w:tcPr>
            <w:tcW w:w="453" w:type="pct"/>
            <w:shd w:val="clear" w:color="auto" w:fill="auto"/>
          </w:tcPr>
          <w:p w14:paraId="37A07423" w14:textId="1B1108B0" w:rsidR="00FA768C" w:rsidRPr="00894635" w:rsidRDefault="00F21966" w:rsidP="00F21966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  <w:t>2022-2023</w:t>
            </w:r>
          </w:p>
        </w:tc>
      </w:tr>
      <w:tr w:rsidR="00976A5C" w:rsidRPr="00894635" w14:paraId="137E4FD5" w14:textId="77777777" w:rsidTr="00746B21">
        <w:trPr>
          <w:trHeight w:val="981"/>
        </w:trPr>
        <w:tc>
          <w:tcPr>
            <w:tcW w:w="505" w:type="pct"/>
            <w:vMerge/>
            <w:shd w:val="clear" w:color="auto" w:fill="auto"/>
          </w:tcPr>
          <w:p w14:paraId="471C0FDF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1A99BEE6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173D2BB7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14:paraId="20C2BAC3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  <w:tc>
          <w:tcPr>
            <w:tcW w:w="1216" w:type="pct"/>
            <w:shd w:val="clear" w:color="auto" w:fill="auto"/>
          </w:tcPr>
          <w:p w14:paraId="698395EA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 xml:space="preserve">Identifikace a řešení případů nesouladu v rámci KTSP </w:t>
            </w:r>
          </w:p>
          <w:p w14:paraId="781B325B" w14:textId="2AF3A9DF" w:rsidR="00976A5C" w:rsidRPr="00894635" w:rsidRDefault="00976A5C" w:rsidP="00746B21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 rámci spolupráce s OÚ ORP i</w:t>
            </w: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dentifikace domácností, kde doklad o provedení kontroly technického stavu a provozu kotle </w:t>
            </w:r>
            <w:r w:rsidR="00FA76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nalezl</w:t>
            </w: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rozpor se zákonem o ochraně ovzduší</w:t>
            </w:r>
          </w:p>
          <w:p w14:paraId="4667D308" w14:textId="262410BB" w:rsidR="00976A5C" w:rsidRPr="00894635" w:rsidRDefault="00976A5C" w:rsidP="00746B21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Výpomoc s </w:t>
            </w: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řešení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těchto případů, např. asistencí s vyřízením žádosti o dotace</w:t>
            </w:r>
          </w:p>
        </w:tc>
        <w:tc>
          <w:tcPr>
            <w:tcW w:w="456" w:type="pct"/>
            <w:shd w:val="clear" w:color="auto" w:fill="auto"/>
          </w:tcPr>
          <w:p w14:paraId="5F0A070F" w14:textId="5046DAD8" w:rsidR="00976A5C" w:rsidRPr="00894635" w:rsidRDefault="00744279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Referent odboru výstavby a životního prostředí</w:t>
            </w:r>
          </w:p>
        </w:tc>
        <w:tc>
          <w:tcPr>
            <w:tcW w:w="547" w:type="pct"/>
            <w:shd w:val="clear" w:color="auto" w:fill="auto"/>
          </w:tcPr>
          <w:p w14:paraId="1EBDB586" w14:textId="7FCAF799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osobní náklady stávajících zaměstnanců</w:t>
            </w:r>
          </w:p>
        </w:tc>
        <w:tc>
          <w:tcPr>
            <w:tcW w:w="453" w:type="pct"/>
            <w:shd w:val="clear" w:color="auto" w:fill="auto"/>
          </w:tcPr>
          <w:p w14:paraId="6EE99ECF" w14:textId="489DF62A" w:rsidR="00976A5C" w:rsidRPr="00894635" w:rsidRDefault="00744279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  <w:t>Průběžně do roku 2023</w:t>
            </w:r>
          </w:p>
        </w:tc>
      </w:tr>
      <w:tr w:rsidR="00976A5C" w:rsidRPr="00894635" w14:paraId="5D0CD98C" w14:textId="77777777" w:rsidTr="00746B21">
        <w:trPr>
          <w:trHeight w:val="913"/>
        </w:trPr>
        <w:tc>
          <w:tcPr>
            <w:tcW w:w="505" w:type="pct"/>
            <w:vMerge/>
            <w:shd w:val="clear" w:color="auto" w:fill="auto"/>
          </w:tcPr>
          <w:p w14:paraId="6FC94FC1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190593DB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0605EC0A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861" w:type="pct"/>
            <w:vMerge w:val="restart"/>
            <w:shd w:val="clear" w:color="auto" w:fill="auto"/>
          </w:tcPr>
          <w:p w14:paraId="2C3CE6F1" w14:textId="016E0695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sz w:val="18"/>
                <w:lang w:eastAsia="cs-CZ"/>
              </w:rPr>
              <w:t xml:space="preserve">Finanční podpora </w:t>
            </w:r>
          </w:p>
        </w:tc>
        <w:tc>
          <w:tcPr>
            <w:tcW w:w="1216" w:type="pct"/>
            <w:shd w:val="clear" w:color="auto" w:fill="auto"/>
          </w:tcPr>
          <w:p w14:paraId="377484F1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 xml:space="preserve">Analýza situace v obci </w:t>
            </w:r>
          </w:p>
          <w:p w14:paraId="0C1CDFC8" w14:textId="6A93304D" w:rsidR="00976A5C" w:rsidRPr="00894635" w:rsidRDefault="00976A5C" w:rsidP="00746B21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fakultativně dotazníková akce (jsou/nejsou zdroje na pevná paliva na území obce, mají/nemají akumulační nádobu, odhad </w:t>
            </w:r>
            <w:r w:rsidRPr="00FA76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absorpční kapacity), využití údajů z KTSP</w:t>
            </w:r>
          </w:p>
        </w:tc>
        <w:tc>
          <w:tcPr>
            <w:tcW w:w="456" w:type="pct"/>
            <w:shd w:val="clear" w:color="auto" w:fill="auto"/>
          </w:tcPr>
          <w:p w14:paraId="014C1557" w14:textId="7E32B73B" w:rsidR="00976A5C" w:rsidRPr="00894635" w:rsidRDefault="00773102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Referent odboru výstavby a životního prostředí</w:t>
            </w:r>
          </w:p>
        </w:tc>
        <w:tc>
          <w:tcPr>
            <w:tcW w:w="547" w:type="pct"/>
            <w:shd w:val="clear" w:color="auto" w:fill="auto"/>
          </w:tcPr>
          <w:p w14:paraId="5EDB651F" w14:textId="3FD85DCC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osobní náklady stávajících zaměstnanců</w:t>
            </w:r>
          </w:p>
        </w:tc>
        <w:tc>
          <w:tcPr>
            <w:tcW w:w="453" w:type="pct"/>
            <w:shd w:val="clear" w:color="auto" w:fill="auto"/>
          </w:tcPr>
          <w:p w14:paraId="21C35126" w14:textId="77777777" w:rsidR="00976A5C" w:rsidRPr="00894635" w:rsidRDefault="00976A5C" w:rsidP="00746B21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  <w:t>Do 6 měsíců od vydání PZKO</w:t>
            </w:r>
          </w:p>
        </w:tc>
      </w:tr>
      <w:tr w:rsidR="00976A5C" w:rsidRPr="00894635" w14:paraId="19B36B04" w14:textId="77777777" w:rsidTr="00746B21">
        <w:trPr>
          <w:trHeight w:val="1037"/>
        </w:trPr>
        <w:tc>
          <w:tcPr>
            <w:tcW w:w="505" w:type="pct"/>
            <w:vMerge/>
            <w:shd w:val="clear" w:color="auto" w:fill="auto"/>
          </w:tcPr>
          <w:p w14:paraId="5102B948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708AEECC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1CF7FAAD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14:paraId="70588E58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1216" w:type="pct"/>
            <w:shd w:val="clear" w:color="auto" w:fill="auto"/>
          </w:tcPr>
          <w:p w14:paraId="1059BB76" w14:textId="77777777" w:rsidR="00976A5C" w:rsidRPr="00C4597F" w:rsidRDefault="00976A5C" w:rsidP="00746B21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C4597F">
              <w:rPr>
                <w:rFonts w:asciiTheme="minorHAnsi" w:hAnsiTheme="minorHAnsi" w:cstheme="minorHAnsi"/>
                <w:b/>
                <w:color w:val="000000"/>
                <w:sz w:val="18"/>
              </w:rPr>
              <w:t>Identifikace možných finančních prostředků a informování MŽP</w:t>
            </w:r>
          </w:p>
          <w:p w14:paraId="111E7B0F" w14:textId="751F1D1F" w:rsidR="00976A5C" w:rsidRPr="00C4597F" w:rsidRDefault="00976A5C" w:rsidP="00746B21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459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např. v rámci stávajících či nově připravovaných programů na podporu rozvoje bytového fondu </w:t>
            </w:r>
          </w:p>
        </w:tc>
        <w:tc>
          <w:tcPr>
            <w:tcW w:w="456" w:type="pct"/>
            <w:shd w:val="clear" w:color="auto" w:fill="auto"/>
          </w:tcPr>
          <w:p w14:paraId="60027EDA" w14:textId="552C53F5" w:rsidR="00976A5C" w:rsidRPr="00C4597F" w:rsidRDefault="00FD59AC" w:rsidP="00746B21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</w:rPr>
              <w:t>Finanční odbor</w:t>
            </w:r>
          </w:p>
        </w:tc>
        <w:tc>
          <w:tcPr>
            <w:tcW w:w="547" w:type="pct"/>
            <w:shd w:val="clear" w:color="auto" w:fill="auto"/>
          </w:tcPr>
          <w:p w14:paraId="5AC95C1E" w14:textId="176EBB88" w:rsidR="00976A5C" w:rsidRPr="00C4597F" w:rsidRDefault="00976A5C" w:rsidP="00746B21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C4597F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osobní náklady stávajících zaměstnanců</w:t>
            </w:r>
          </w:p>
        </w:tc>
        <w:tc>
          <w:tcPr>
            <w:tcW w:w="453" w:type="pct"/>
            <w:shd w:val="clear" w:color="auto" w:fill="auto"/>
          </w:tcPr>
          <w:p w14:paraId="0EAD6D61" w14:textId="77777777" w:rsidR="00976A5C" w:rsidRDefault="00976A5C" w:rsidP="00746B21">
            <w:pPr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</w:pPr>
            <w:r w:rsidRPr="00C4597F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  <w:t>Do 6 měsíců od vydání PZKO</w:t>
            </w:r>
          </w:p>
          <w:p w14:paraId="79DFCC74" w14:textId="2B9B261B" w:rsidR="00773102" w:rsidRPr="00C4597F" w:rsidRDefault="00773102" w:rsidP="00746B21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</w:rPr>
              <w:t>splněno</w:t>
            </w:r>
          </w:p>
        </w:tc>
      </w:tr>
      <w:tr w:rsidR="00976A5C" w:rsidRPr="00894635" w14:paraId="40278388" w14:textId="77777777" w:rsidTr="00746B21">
        <w:trPr>
          <w:trHeight w:val="1134"/>
        </w:trPr>
        <w:tc>
          <w:tcPr>
            <w:tcW w:w="505" w:type="pct"/>
            <w:vMerge/>
            <w:shd w:val="clear" w:color="auto" w:fill="auto"/>
          </w:tcPr>
          <w:p w14:paraId="131D2916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60BDE00C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6F4908E5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14:paraId="5FE71F8B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</w:p>
        </w:tc>
        <w:tc>
          <w:tcPr>
            <w:tcW w:w="1216" w:type="pct"/>
            <w:shd w:val="clear" w:color="auto" w:fill="auto"/>
          </w:tcPr>
          <w:p w14:paraId="40B1F621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Předložení materiálu ke schválení radě/zastupitelstvu</w:t>
            </w:r>
          </w:p>
          <w:p w14:paraId="063C39A4" w14:textId="77777777" w:rsidR="00976A5C" w:rsidRPr="00894635" w:rsidRDefault="00976A5C" w:rsidP="00746B21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začlenění finanční podpory do stávajících obecních programů zaměřených např. na zateplování a renovace (dotace, bezúročné nebo nízkoúročné půjčky) nebo vytvoření nového programu</w:t>
            </w: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14:paraId="63282F41" w14:textId="2EE48505" w:rsidR="00976A5C" w:rsidRPr="00894635" w:rsidRDefault="00FD59A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Finanční odbor</w:t>
            </w:r>
          </w:p>
        </w:tc>
        <w:tc>
          <w:tcPr>
            <w:tcW w:w="547" w:type="pct"/>
            <w:shd w:val="clear" w:color="auto" w:fill="auto"/>
          </w:tcPr>
          <w:p w14:paraId="17A9C787" w14:textId="1A70E0BA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osobní náklady stávajících zaměstnanců</w:t>
            </w:r>
          </w:p>
        </w:tc>
        <w:tc>
          <w:tcPr>
            <w:tcW w:w="453" w:type="pct"/>
            <w:shd w:val="clear" w:color="auto" w:fill="auto"/>
          </w:tcPr>
          <w:p w14:paraId="675843A2" w14:textId="545C7834" w:rsidR="00976A5C" w:rsidRPr="00894635" w:rsidRDefault="00976A5C" w:rsidP="00746B21">
            <w:pPr>
              <w:spacing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Do měsíce po předchozích aktivitách</w:t>
            </w:r>
            <w:r w:rsidR="001146FD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- splněno</w:t>
            </w:r>
          </w:p>
        </w:tc>
      </w:tr>
      <w:tr w:rsidR="00976A5C" w:rsidRPr="00894635" w14:paraId="6B7EA929" w14:textId="77777777" w:rsidTr="00746B21">
        <w:trPr>
          <w:trHeight w:val="1122"/>
        </w:trPr>
        <w:tc>
          <w:tcPr>
            <w:tcW w:w="505" w:type="pct"/>
            <w:vMerge/>
            <w:shd w:val="clear" w:color="auto" w:fill="auto"/>
          </w:tcPr>
          <w:p w14:paraId="46EDBE8A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29B38E93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68715A18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14:paraId="5F9A2980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  <w:tc>
          <w:tcPr>
            <w:tcW w:w="1216" w:type="pct"/>
            <w:shd w:val="clear" w:color="auto" w:fill="auto"/>
          </w:tcPr>
          <w:p w14:paraId="38370B16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Spuštění programu</w:t>
            </w:r>
          </w:p>
          <w:p w14:paraId="32B120F0" w14:textId="77777777" w:rsidR="00976A5C" w:rsidRPr="00894635" w:rsidRDefault="00976A5C" w:rsidP="00746B21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propagace programu (lokální tisk, místní rozhlas apod.)</w:t>
            </w:r>
          </w:p>
          <w:p w14:paraId="504957C6" w14:textId="77777777" w:rsidR="00976A5C" w:rsidRPr="00894635" w:rsidRDefault="00976A5C" w:rsidP="00746B21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přímé oslovení konkrétních vytipovaných domácností</w:t>
            </w:r>
          </w:p>
        </w:tc>
        <w:tc>
          <w:tcPr>
            <w:tcW w:w="456" w:type="pct"/>
            <w:shd w:val="clear" w:color="auto" w:fill="auto"/>
          </w:tcPr>
          <w:p w14:paraId="64781137" w14:textId="4B6F1D3E" w:rsidR="00976A5C" w:rsidRPr="00894635" w:rsidRDefault="001146FD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Referent odboru výstavby a životního prostředí</w:t>
            </w:r>
            <w:r w:rsidRPr="00894635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6D395467" w14:textId="35CC0E79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osobní náklady stávajících zaměstnanců</w:t>
            </w:r>
          </w:p>
        </w:tc>
        <w:tc>
          <w:tcPr>
            <w:tcW w:w="453" w:type="pct"/>
            <w:shd w:val="clear" w:color="auto" w:fill="auto"/>
          </w:tcPr>
          <w:p w14:paraId="4B67E310" w14:textId="0E68BE9F" w:rsidR="00976A5C" w:rsidRPr="00894635" w:rsidRDefault="00976A5C" w:rsidP="00746B21">
            <w:pPr>
              <w:spacing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Nejpozději do konce 202</w:t>
            </w:r>
            <w:r w:rsidR="001146FD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2</w:t>
            </w:r>
          </w:p>
        </w:tc>
      </w:tr>
      <w:tr w:rsidR="00976A5C" w:rsidRPr="00894635" w14:paraId="19810070" w14:textId="77777777" w:rsidTr="00746B21">
        <w:trPr>
          <w:trHeight w:val="1122"/>
        </w:trPr>
        <w:tc>
          <w:tcPr>
            <w:tcW w:w="505" w:type="pct"/>
            <w:vMerge/>
            <w:shd w:val="clear" w:color="auto" w:fill="auto"/>
          </w:tcPr>
          <w:p w14:paraId="752C8D9E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4941CCD3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7C5BA02D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14:paraId="621CE345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  <w:tc>
          <w:tcPr>
            <w:tcW w:w="1216" w:type="pct"/>
            <w:shd w:val="clear" w:color="auto" w:fill="auto"/>
          </w:tcPr>
          <w:p w14:paraId="0947B0E7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Asistence při podání žádosti o dotaci poskytované na vyšší úrovni (kraj, stát)</w:t>
            </w:r>
          </w:p>
          <w:p w14:paraId="1E5A3170" w14:textId="77777777" w:rsidR="00976A5C" w:rsidRPr="00894635" w:rsidRDefault="00976A5C" w:rsidP="00746B21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Poskytování pomoci při vyplňování žádosti o poskytnutí dotace (např. z OPŽP nebo NZU) a realizaci opatření. Specifické zaměření na osoby, pro které je tento krok zásadní překážkou čerpání dotace. </w:t>
            </w:r>
          </w:p>
        </w:tc>
        <w:tc>
          <w:tcPr>
            <w:tcW w:w="456" w:type="pct"/>
            <w:shd w:val="clear" w:color="auto" w:fill="auto"/>
          </w:tcPr>
          <w:p w14:paraId="4FBE5B76" w14:textId="2352415F" w:rsidR="00976A5C" w:rsidRPr="00894635" w:rsidRDefault="001146FD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Referent odboru výstavby a životního prostředí</w:t>
            </w:r>
          </w:p>
        </w:tc>
        <w:tc>
          <w:tcPr>
            <w:tcW w:w="547" w:type="pct"/>
            <w:shd w:val="clear" w:color="auto" w:fill="auto"/>
          </w:tcPr>
          <w:p w14:paraId="54C7AF62" w14:textId="50868F73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osobní náklady stávajících zaměstnanců</w:t>
            </w:r>
          </w:p>
        </w:tc>
        <w:tc>
          <w:tcPr>
            <w:tcW w:w="453" w:type="pct"/>
            <w:shd w:val="clear" w:color="auto" w:fill="auto"/>
          </w:tcPr>
          <w:p w14:paraId="0BA02390" w14:textId="77777777" w:rsidR="00976A5C" w:rsidRPr="00894635" w:rsidRDefault="00976A5C" w:rsidP="00746B21">
            <w:pPr>
              <w:spacing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Od vyhlášení výzvy (OPŽP, NZÚ) až do doby trvání aktivity</w:t>
            </w:r>
          </w:p>
        </w:tc>
      </w:tr>
      <w:tr w:rsidR="00976A5C" w:rsidRPr="00894635" w14:paraId="49823CEB" w14:textId="77777777" w:rsidTr="00746B21">
        <w:trPr>
          <w:trHeight w:val="1102"/>
        </w:trPr>
        <w:tc>
          <w:tcPr>
            <w:tcW w:w="505" w:type="pct"/>
            <w:vMerge/>
            <w:shd w:val="clear" w:color="auto" w:fill="auto"/>
          </w:tcPr>
          <w:p w14:paraId="04FA9A37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1CFAD513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5DCCEA01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14:paraId="193A19BC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  <w:tc>
          <w:tcPr>
            <w:tcW w:w="1216" w:type="pct"/>
            <w:shd w:val="clear" w:color="auto" w:fill="auto"/>
          </w:tcPr>
          <w:p w14:paraId="64F9EDF4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Šíření informací o poskytovaných dotačních titulech, spolupráce se zprostředkovatelem podpory </w:t>
            </w:r>
          </w:p>
          <w:p w14:paraId="632A8D5E" w14:textId="77777777" w:rsidR="00976A5C" w:rsidRPr="00950D72" w:rsidRDefault="00976A5C" w:rsidP="00746B21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950D72">
              <w:rPr>
                <w:rFonts w:asciiTheme="minorHAnsi" w:hAnsiTheme="minorHAnsi" w:cstheme="minorHAnsi"/>
                <w:color w:val="000000"/>
                <w:sz w:val="18"/>
              </w:rPr>
              <w:t xml:space="preserve">Způsob distribuce informací v zásadě shodný s předchozím </w:t>
            </w:r>
            <w:r w:rsidRPr="00950D72">
              <w:rPr>
                <w:rFonts w:asciiTheme="minorHAnsi" w:hAnsiTheme="minorHAnsi" w:cstheme="minorHAnsi"/>
                <w:color w:val="000000"/>
                <w:sz w:val="18"/>
              </w:rPr>
              <w:lastRenderedPageBreak/>
              <w:t>krokem, možnost přímého oslovení domácností identifikovaných v rámci mapování zdrojů.</w:t>
            </w:r>
          </w:p>
        </w:tc>
        <w:tc>
          <w:tcPr>
            <w:tcW w:w="456" w:type="pct"/>
            <w:shd w:val="clear" w:color="auto" w:fill="auto"/>
          </w:tcPr>
          <w:p w14:paraId="715B3103" w14:textId="68E21941" w:rsidR="00976A5C" w:rsidRPr="00894635" w:rsidRDefault="001146FD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lastRenderedPageBreak/>
              <w:t>Referent odboru výstavby a životního prostředí</w:t>
            </w:r>
          </w:p>
        </w:tc>
        <w:tc>
          <w:tcPr>
            <w:tcW w:w="547" w:type="pct"/>
            <w:shd w:val="clear" w:color="auto" w:fill="auto"/>
          </w:tcPr>
          <w:p w14:paraId="52743FD7" w14:textId="2A8FC4E9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osobní náklady stávajících zaměstnanců</w:t>
            </w:r>
          </w:p>
          <w:p w14:paraId="50C20FC5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  <w:p w14:paraId="3FE3CB4A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lastRenderedPageBreak/>
              <w:t>náklady na zpracování a distribuci osvětových materiálů</w:t>
            </w:r>
          </w:p>
        </w:tc>
        <w:tc>
          <w:tcPr>
            <w:tcW w:w="453" w:type="pct"/>
            <w:shd w:val="clear" w:color="auto" w:fill="auto"/>
          </w:tcPr>
          <w:p w14:paraId="20FA9DBE" w14:textId="77777777" w:rsidR="00976A5C" w:rsidRPr="00894635" w:rsidRDefault="00976A5C" w:rsidP="00746B21">
            <w:pPr>
              <w:spacing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lastRenderedPageBreak/>
              <w:t xml:space="preserve">ihned po vyhlášení výzvy po </w:t>
            </w:r>
            <w:r w:rsidRPr="00894635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lastRenderedPageBreak/>
              <w:t>celou dobu jejího trvání</w:t>
            </w:r>
          </w:p>
        </w:tc>
      </w:tr>
      <w:tr w:rsidR="00976A5C" w:rsidRPr="00894635" w14:paraId="7AC9B963" w14:textId="77777777" w:rsidTr="00746B21">
        <w:trPr>
          <w:trHeight w:val="504"/>
        </w:trPr>
        <w:tc>
          <w:tcPr>
            <w:tcW w:w="505" w:type="pct"/>
            <w:shd w:val="clear" w:color="auto" w:fill="auto"/>
          </w:tcPr>
          <w:p w14:paraId="2467D45F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lastRenderedPageBreak/>
              <w:t>PZKO_2020_2</w:t>
            </w:r>
          </w:p>
        </w:tc>
        <w:tc>
          <w:tcPr>
            <w:tcW w:w="658" w:type="pct"/>
            <w:shd w:val="clear" w:color="auto" w:fill="auto"/>
          </w:tcPr>
          <w:p w14:paraId="3E4B018D" w14:textId="77777777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Zvýšení povědomí provozovatelů o vlivu spalování pevných paliv na kvalitu ovzduší, významu správné údržby a obsluhy zdrojů a volby spalovaného paliva</w:t>
            </w:r>
          </w:p>
        </w:tc>
        <w:tc>
          <w:tcPr>
            <w:tcW w:w="304" w:type="pct"/>
            <w:shd w:val="clear" w:color="auto" w:fill="auto"/>
          </w:tcPr>
          <w:p w14:paraId="075BC5BB" w14:textId="4251BC6B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/>
                <w:sz w:val="18"/>
              </w:rPr>
              <w:t xml:space="preserve">obec </w:t>
            </w:r>
          </w:p>
        </w:tc>
        <w:tc>
          <w:tcPr>
            <w:tcW w:w="861" w:type="pct"/>
            <w:shd w:val="clear" w:color="auto" w:fill="auto"/>
          </w:tcPr>
          <w:p w14:paraId="66BD5C3D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  <w:t xml:space="preserve">Osvěta </w:t>
            </w:r>
          </w:p>
          <w:p w14:paraId="0988910A" w14:textId="77777777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216" w:type="pct"/>
            <w:shd w:val="clear" w:color="auto" w:fill="auto"/>
          </w:tcPr>
          <w:p w14:paraId="5730F04B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Šíření informací poskytnutých MŽP o správném provozování zdrojů (na začátku každé topné sezóny):</w:t>
            </w:r>
          </w:p>
          <w:p w14:paraId="0B7F47EA" w14:textId="77777777" w:rsidR="00976A5C" w:rsidRPr="00894635" w:rsidRDefault="00976A5C" w:rsidP="00746B21">
            <w:pPr>
              <w:pStyle w:val="Odstavecseseznamem"/>
              <w:numPr>
                <w:ilvl w:val="0"/>
                <w:numId w:val="3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Oslovení místních odborně způsobilých osob, kominíků a zástupců hasičů či dobrovolných hasičů s žádostí o spolupráci </w:t>
            </w:r>
          </w:p>
          <w:p w14:paraId="2CF6873E" w14:textId="77777777" w:rsidR="00976A5C" w:rsidRPr="00894635" w:rsidRDefault="00976A5C" w:rsidP="00746B21">
            <w:pPr>
              <w:pStyle w:val="Odstavecseseznamem"/>
              <w:numPr>
                <w:ilvl w:val="0"/>
                <w:numId w:val="3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Identifikace vhodných komunikačních kanálů (místní tisk, rozhlas, společenské akce apod.). </w:t>
            </w:r>
          </w:p>
          <w:p w14:paraId="08AF27F3" w14:textId="77777777" w:rsidR="00976A5C" w:rsidRPr="00894635" w:rsidRDefault="00976A5C" w:rsidP="00746B21">
            <w:pPr>
              <w:pStyle w:val="Odstavecseseznamem"/>
              <w:numPr>
                <w:ilvl w:val="0"/>
                <w:numId w:val="3"/>
              </w:num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46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Distribuce propagačních materiálů těmito identifikovanými kanály: distribuce letáků, konání specificky zaměřených besed s účastí odborně způsobilých osob, kominíků či zástupce hasičů, případně přidružení přednášky, prezentace na téma ochrana ovzduší a správný provoz spalovacích zdrojů na pevná paliva k jiným společenským událostem.</w:t>
            </w:r>
          </w:p>
          <w:p w14:paraId="429C4143" w14:textId="77777777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/>
                <w:sz w:val="18"/>
              </w:rPr>
              <w:t xml:space="preserve">pozn.  K distribuci letáků je vhodné využít i kroky podnikané v rámci mapování zdrojů (místní šetření a zasílání výzev k předložení KTSP či žádosti o informaci o zdrojích).  </w:t>
            </w:r>
          </w:p>
        </w:tc>
        <w:tc>
          <w:tcPr>
            <w:tcW w:w="456" w:type="pct"/>
            <w:shd w:val="clear" w:color="auto" w:fill="auto"/>
          </w:tcPr>
          <w:p w14:paraId="7DBDCC57" w14:textId="235ABF2F" w:rsidR="00976A5C" w:rsidRPr="00894635" w:rsidRDefault="00E45771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Referent odboru výstavby a životního prostředí</w:t>
            </w:r>
          </w:p>
        </w:tc>
        <w:tc>
          <w:tcPr>
            <w:tcW w:w="547" w:type="pct"/>
            <w:shd w:val="clear" w:color="auto" w:fill="auto"/>
          </w:tcPr>
          <w:p w14:paraId="75551B2A" w14:textId="6EA97466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osobní náklady stávajících zaměstnanců</w:t>
            </w:r>
          </w:p>
          <w:p w14:paraId="5D001A4F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  <w:p w14:paraId="67FE32DF" w14:textId="77777777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náklady na zpracování a distribuci osvětových materiálů</w:t>
            </w:r>
          </w:p>
        </w:tc>
        <w:tc>
          <w:tcPr>
            <w:tcW w:w="453" w:type="pct"/>
            <w:shd w:val="clear" w:color="auto" w:fill="auto"/>
          </w:tcPr>
          <w:p w14:paraId="1DF27D9D" w14:textId="5E6C4F4C" w:rsidR="00976A5C" w:rsidRPr="00894635" w:rsidRDefault="00E45771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  <w:t>Průběžně v roce 2022 a 2023, dále dle potřeby</w:t>
            </w:r>
          </w:p>
        </w:tc>
      </w:tr>
      <w:tr w:rsidR="00976A5C" w:rsidRPr="00894635" w14:paraId="43CBE57D" w14:textId="77777777" w:rsidTr="00746B21">
        <w:trPr>
          <w:trHeight w:val="504"/>
        </w:trPr>
        <w:tc>
          <w:tcPr>
            <w:tcW w:w="505" w:type="pct"/>
            <w:shd w:val="clear" w:color="auto" w:fill="auto"/>
          </w:tcPr>
          <w:p w14:paraId="27DA0480" w14:textId="77777777" w:rsidR="00976A5C" w:rsidRPr="00894635" w:rsidRDefault="00976A5C" w:rsidP="00746B21">
            <w:pPr>
              <w:tabs>
                <w:tab w:val="center" w:pos="708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….</w:t>
            </w:r>
          </w:p>
        </w:tc>
        <w:tc>
          <w:tcPr>
            <w:tcW w:w="658" w:type="pct"/>
            <w:shd w:val="clear" w:color="auto" w:fill="auto"/>
          </w:tcPr>
          <w:p w14:paraId="71EB6DF3" w14:textId="77777777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….</w:t>
            </w:r>
          </w:p>
        </w:tc>
        <w:tc>
          <w:tcPr>
            <w:tcW w:w="304" w:type="pct"/>
            <w:shd w:val="clear" w:color="auto" w:fill="auto"/>
          </w:tcPr>
          <w:p w14:paraId="6FE6001B" w14:textId="77777777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….</w:t>
            </w:r>
          </w:p>
        </w:tc>
        <w:tc>
          <w:tcPr>
            <w:tcW w:w="861" w:type="pct"/>
            <w:shd w:val="clear" w:color="auto" w:fill="auto"/>
          </w:tcPr>
          <w:p w14:paraId="659EFD53" w14:textId="77777777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….</w:t>
            </w:r>
          </w:p>
        </w:tc>
        <w:tc>
          <w:tcPr>
            <w:tcW w:w="1216" w:type="pct"/>
            <w:shd w:val="clear" w:color="auto" w:fill="auto"/>
          </w:tcPr>
          <w:p w14:paraId="1F693A30" w14:textId="77777777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….</w:t>
            </w:r>
          </w:p>
        </w:tc>
        <w:tc>
          <w:tcPr>
            <w:tcW w:w="456" w:type="pct"/>
            <w:shd w:val="clear" w:color="auto" w:fill="auto"/>
          </w:tcPr>
          <w:p w14:paraId="22E9FF88" w14:textId="77777777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….</w:t>
            </w:r>
          </w:p>
        </w:tc>
        <w:tc>
          <w:tcPr>
            <w:tcW w:w="547" w:type="pct"/>
            <w:shd w:val="clear" w:color="auto" w:fill="auto"/>
          </w:tcPr>
          <w:p w14:paraId="05FCD1D0" w14:textId="77777777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….</w:t>
            </w:r>
          </w:p>
        </w:tc>
        <w:tc>
          <w:tcPr>
            <w:tcW w:w="453" w:type="pct"/>
            <w:shd w:val="clear" w:color="auto" w:fill="auto"/>
          </w:tcPr>
          <w:p w14:paraId="4F09BE07" w14:textId="77777777" w:rsidR="00976A5C" w:rsidRPr="00894635" w:rsidRDefault="00976A5C" w:rsidP="00746B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894635">
              <w:rPr>
                <w:rFonts w:asciiTheme="minorHAnsi" w:hAnsiTheme="minorHAnsi" w:cstheme="minorHAnsi"/>
                <w:b/>
                <w:color w:val="000000"/>
                <w:sz w:val="18"/>
              </w:rPr>
              <w:t>….</w:t>
            </w:r>
          </w:p>
        </w:tc>
      </w:tr>
    </w:tbl>
    <w:p w14:paraId="1F95ECC4" w14:textId="77777777" w:rsidR="00FF0D82" w:rsidRDefault="00FF0D82" w:rsidP="00746B21">
      <w:pPr>
        <w:spacing w:line="240" w:lineRule="auto"/>
      </w:pPr>
    </w:p>
    <w:sectPr w:rsidR="00FF0D82" w:rsidSect="00746B21">
      <w:headerReference w:type="default" r:id="rId7"/>
      <w:pgSz w:w="16838" w:h="11906" w:orient="landscape" w:code="9"/>
      <w:pgMar w:top="1417" w:right="1417" w:bottom="1417" w:left="1417" w:header="851" w:footer="6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DC9C" w14:textId="77777777" w:rsidR="003F7A97" w:rsidRDefault="003F7A97" w:rsidP="00976A5C">
      <w:pPr>
        <w:spacing w:after="0" w:line="240" w:lineRule="auto"/>
      </w:pPr>
      <w:r>
        <w:separator/>
      </w:r>
    </w:p>
  </w:endnote>
  <w:endnote w:type="continuationSeparator" w:id="0">
    <w:p w14:paraId="6D070B76" w14:textId="77777777" w:rsidR="003F7A97" w:rsidRDefault="003F7A97" w:rsidP="0097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4767" w14:textId="77777777" w:rsidR="003F7A97" w:rsidRDefault="003F7A97" w:rsidP="00976A5C">
      <w:pPr>
        <w:spacing w:after="0" w:line="240" w:lineRule="auto"/>
      </w:pPr>
      <w:r>
        <w:separator/>
      </w:r>
    </w:p>
  </w:footnote>
  <w:footnote w:type="continuationSeparator" w:id="0">
    <w:p w14:paraId="63648694" w14:textId="77777777" w:rsidR="003F7A97" w:rsidRDefault="003F7A97" w:rsidP="00976A5C">
      <w:pPr>
        <w:spacing w:after="0" w:line="240" w:lineRule="auto"/>
      </w:pPr>
      <w:r>
        <w:continuationSeparator/>
      </w:r>
    </w:p>
  </w:footnote>
  <w:footnote w:id="1">
    <w:p w14:paraId="1B0C553F" w14:textId="77777777" w:rsidR="00976A5C" w:rsidRDefault="00976A5C" w:rsidP="00976A5C">
      <w:pPr>
        <w:pStyle w:val="Textpoznpodarou"/>
        <w:rPr>
          <w:rFonts w:ascii="Segoe UI" w:hAnsi="Segoe UI" w:cs="Segoe UI"/>
          <w:color w:val="000000"/>
          <w:szCs w:val="16"/>
        </w:rPr>
      </w:pPr>
      <w:r>
        <w:rPr>
          <w:rStyle w:val="Znakapoznpodarou"/>
          <w:rFonts w:ascii="Segoe UI" w:eastAsia="MS Mincho" w:hAnsi="Segoe UI" w:cs="Segoe UI"/>
          <w:color w:val="000000" w:themeColor="text1"/>
          <w:szCs w:val="16"/>
        </w:rPr>
        <w:footnoteRef/>
      </w:r>
      <w:r>
        <w:rPr>
          <w:rFonts w:ascii="Segoe UI" w:hAnsi="Segoe UI" w:cs="Segoe UI"/>
          <w:color w:val="000000" w:themeColor="text1"/>
          <w:szCs w:val="16"/>
        </w:rPr>
        <w:t xml:space="preserve"> PZKO = program zlepšování kvality ovzduší</w:t>
      </w:r>
    </w:p>
  </w:footnote>
  <w:footnote w:id="2">
    <w:p w14:paraId="432F2223" w14:textId="77777777" w:rsidR="00976A5C" w:rsidRDefault="00976A5C" w:rsidP="00976A5C">
      <w:pPr>
        <w:pStyle w:val="Textpoznpodarou"/>
        <w:rPr>
          <w:rFonts w:ascii="Segoe UI" w:hAnsi="Segoe UI" w:cs="Segoe UI"/>
          <w:color w:val="000000"/>
          <w:szCs w:val="16"/>
        </w:rPr>
      </w:pPr>
      <w:r>
        <w:rPr>
          <w:rStyle w:val="Znakapoznpodarou"/>
          <w:rFonts w:ascii="Segoe UI" w:hAnsi="Segoe UI" w:cs="Segoe UI"/>
          <w:color w:val="000000" w:themeColor="text1"/>
          <w:szCs w:val="16"/>
        </w:rPr>
        <w:footnoteRef/>
      </w:r>
      <w:r>
        <w:rPr>
          <w:rFonts w:ascii="Segoe UI" w:hAnsi="Segoe UI" w:cs="Segoe UI"/>
          <w:color w:val="000000" w:themeColor="text1"/>
          <w:szCs w:val="16"/>
        </w:rPr>
        <w:t xml:space="preserve"> Interní gesce je nezbytné přizpůsobit organizační struktuře a kompetencím úřadu žadatele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60CD" w14:textId="77777777" w:rsidR="00224636" w:rsidRPr="00284FD1" w:rsidRDefault="00615FDB" w:rsidP="00597931">
    <w:pPr>
      <w:pStyle w:val="Zhlav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F8"/>
    <w:multiLevelType w:val="hybridMultilevel"/>
    <w:tmpl w:val="F698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96F"/>
    <w:multiLevelType w:val="hybridMultilevel"/>
    <w:tmpl w:val="DF8A5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46F6"/>
    <w:multiLevelType w:val="hybridMultilevel"/>
    <w:tmpl w:val="6EAC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870FB"/>
    <w:multiLevelType w:val="hybridMultilevel"/>
    <w:tmpl w:val="453E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A5903"/>
    <w:multiLevelType w:val="hybridMultilevel"/>
    <w:tmpl w:val="28DE3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B2488"/>
    <w:multiLevelType w:val="hybridMultilevel"/>
    <w:tmpl w:val="05DA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8D"/>
    <w:rsid w:val="001146FD"/>
    <w:rsid w:val="00185683"/>
    <w:rsid w:val="00252BE7"/>
    <w:rsid w:val="003F7A97"/>
    <w:rsid w:val="005E56C3"/>
    <w:rsid w:val="00613E5A"/>
    <w:rsid w:val="00615FDB"/>
    <w:rsid w:val="00744279"/>
    <w:rsid w:val="00746B21"/>
    <w:rsid w:val="00773102"/>
    <w:rsid w:val="00950D72"/>
    <w:rsid w:val="00976A5C"/>
    <w:rsid w:val="00A84B8D"/>
    <w:rsid w:val="00B067E9"/>
    <w:rsid w:val="00C232C7"/>
    <w:rsid w:val="00C4597F"/>
    <w:rsid w:val="00D201C2"/>
    <w:rsid w:val="00E45771"/>
    <w:rsid w:val="00F21966"/>
    <w:rsid w:val="00FA768C"/>
    <w:rsid w:val="00FD59AC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EC4B"/>
  <w15:chartTrackingRefBased/>
  <w15:docId w15:val="{F5CEE74E-C340-4EC1-97E4-379CB1BD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A5C"/>
    <w:pPr>
      <w:spacing w:after="120" w:line="276" w:lineRule="auto"/>
      <w:jc w:val="both"/>
    </w:pPr>
    <w:rPr>
      <w:rFonts w:ascii="Verdana" w:eastAsia="Calibri" w:hAnsi="Verdana" w:cs="Arial"/>
      <w:sz w:val="2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A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A5C"/>
    <w:rPr>
      <w:rFonts w:ascii="Verdana" w:eastAsia="Calibri" w:hAnsi="Verdana" w:cs="Arial"/>
      <w:sz w:val="20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76A5C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6A5C"/>
    <w:rPr>
      <w:rFonts w:ascii="Verdana" w:eastAsia="Calibri" w:hAnsi="Verdana" w:cs="Arial"/>
      <w:sz w:val="16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976A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76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A5C"/>
    <w:rPr>
      <w:rFonts w:ascii="Verdana" w:eastAsia="Calibri" w:hAnsi="Verdana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7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A5C"/>
    <w:rPr>
      <w:rFonts w:ascii="Verdana" w:eastAsia="Calibri" w:hAnsi="Verdana" w:cs="Arial"/>
      <w:sz w:val="20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976A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/>
      <w:ind w:left="720"/>
      <w:contextualSpacing/>
      <w:jc w:val="left"/>
    </w:pPr>
    <w:rPr>
      <w:rFonts w:ascii="Calibri" w:hAnsi="Calibri" w:cs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976A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Breburdova</dc:creator>
  <cp:keywords/>
  <dc:description/>
  <cp:lastModifiedBy>Veronika</cp:lastModifiedBy>
  <cp:revision>10</cp:revision>
  <dcterms:created xsi:type="dcterms:W3CDTF">2021-03-19T09:27:00Z</dcterms:created>
  <dcterms:modified xsi:type="dcterms:W3CDTF">2022-03-30T11:09:00Z</dcterms:modified>
</cp:coreProperties>
</file>